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D9" w:rsidRPr="00C341D9" w:rsidRDefault="00C341D9" w:rsidP="00C341D9">
      <w:pPr>
        <w:spacing w:line="270" w:lineRule="atLeast"/>
        <w:jc w:val="center"/>
        <w:rPr>
          <w:rFonts w:ascii="Arial" w:eastAsia="Times New Roman" w:hAnsi="Arial" w:cs="Arial"/>
          <w:b/>
          <w:color w:val="333333"/>
          <w:sz w:val="28"/>
          <w:szCs w:val="28"/>
        </w:rPr>
      </w:pPr>
      <w:bookmarkStart w:id="0" w:name="_GoBack"/>
      <w:bookmarkEnd w:id="0"/>
      <w:r w:rsidRPr="00C341D9">
        <w:rPr>
          <w:rFonts w:ascii="Arial" w:eastAsia="Times New Roman" w:hAnsi="Arial" w:cs="Arial"/>
          <w:b/>
          <w:color w:val="333333"/>
          <w:sz w:val="28"/>
          <w:szCs w:val="28"/>
        </w:rPr>
        <w:t>The First Bullet Point</w:t>
      </w:r>
    </w:p>
    <w:p w:rsidR="00C341D9" w:rsidRDefault="00C341D9" w:rsidP="00C341D9">
      <w:pPr>
        <w:spacing w:line="270" w:lineRule="atLeast"/>
        <w:rPr>
          <w:rFonts w:ascii="Arial" w:eastAsia="Times New Roman" w:hAnsi="Arial" w:cs="Arial"/>
          <w:color w:val="333333"/>
          <w:sz w:val="21"/>
          <w:szCs w:val="21"/>
        </w:rPr>
      </w:pPr>
    </w:p>
    <w:p w:rsidR="00C341D9" w:rsidRDefault="00C341D9" w:rsidP="00C341D9">
      <w:pPr>
        <w:spacing w:line="270" w:lineRule="atLeast"/>
        <w:rPr>
          <w:rFonts w:ascii="Arial" w:eastAsia="Times New Roman" w:hAnsi="Arial" w:cs="Arial"/>
          <w:color w:val="333333"/>
          <w:sz w:val="21"/>
          <w:szCs w:val="21"/>
        </w:rPr>
      </w:pPr>
    </w:p>
    <w:p w:rsidR="00C341D9" w:rsidRDefault="00C341D9" w:rsidP="00C341D9">
      <w:pPr>
        <w:spacing w:line="270" w:lineRule="atLeast"/>
        <w:rPr>
          <w:rFonts w:ascii="Arial" w:eastAsia="Times New Roman" w:hAnsi="Arial" w:cs="Arial"/>
          <w:color w:val="333333"/>
          <w:sz w:val="21"/>
          <w:szCs w:val="21"/>
        </w:rPr>
      </w:pPr>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color w:val="333333"/>
          <w:sz w:val="21"/>
          <w:szCs w:val="21"/>
        </w:rPr>
        <w:t>Upon reading the</w:t>
      </w:r>
      <w:r w:rsidRPr="00C341D9">
        <w:rPr>
          <w:rFonts w:ascii="Arial" w:eastAsia="Times New Roman" w:hAnsi="Arial" w:cs="Arial"/>
          <w:b/>
          <w:bCs/>
          <w:color w:val="333333"/>
          <w:sz w:val="21"/>
          <w:szCs w:val="21"/>
        </w:rPr>
        <w:t> ADA Accommodation for Medical Marijuana Case Study and </w:t>
      </w:r>
      <w:r w:rsidRPr="00C341D9">
        <w:rPr>
          <w:rFonts w:ascii="Arial" w:eastAsia="Times New Roman" w:hAnsi="Arial" w:cs="Arial"/>
          <w:color w:val="333333"/>
          <w:sz w:val="21"/>
          <w:szCs w:val="21"/>
        </w:rPr>
        <w:t>I believe that the requirements of disability eligibility under ADA and ADAAA are applicable in this circumstance, because she informed her former employer before being hired that she had the required certification from her physician allowing her to purchase marijuana under her state's voter-approved medical marijuana law and had a registration card for verification. They hired her for the position knowing of her condition.  I believe she had valid claim and is entitled to any accommodation.  ADA requires employers to provide reasonable accommodations to the disabled employee so the employee can perform the essential duties of their job.</w:t>
      </w:r>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color w:val="333333"/>
          <w:sz w:val="21"/>
          <w:szCs w:val="21"/>
        </w:rPr>
        <w:t> </w:t>
      </w:r>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color w:val="333333"/>
          <w:sz w:val="21"/>
          <w:szCs w:val="21"/>
        </w:rPr>
        <w:t> Under the </w:t>
      </w:r>
      <w:hyperlink r:id="rId4" w:tgtFrame="_blank" w:history="1">
        <w:r w:rsidRPr="00C341D9">
          <w:rPr>
            <w:rFonts w:ascii="Arial" w:eastAsia="Times New Roman" w:hAnsi="Arial" w:cs="Arial"/>
            <w:color w:val="005C95"/>
            <w:sz w:val="21"/>
            <w:szCs w:val="21"/>
            <w:u w:val="single"/>
          </w:rPr>
          <w:t>Arizona Medical Marijuana Act</w:t>
        </w:r>
      </w:hyperlink>
      <w:r w:rsidRPr="00C341D9">
        <w:rPr>
          <w:rFonts w:ascii="Arial" w:eastAsia="Times New Roman" w:hAnsi="Arial" w:cs="Arial"/>
          <w:color w:val="333333"/>
          <w:sz w:val="21"/>
          <w:szCs w:val="21"/>
        </w:rPr>
        <w:t>, there are some protections for medical marijuana patient rights. However, there is still some confusion as to the rights of employees in the workplace. The AMMA prohibits workplace discrimination for medical marijuana patients in AZ and bars employers. This means companies cannot discipline cardholders, or refuse to hire them just because they have a medical marijuana card or because they tested positive for prior marijuana use. </w:t>
      </w:r>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i/>
          <w:iCs/>
          <w:color w:val="333333"/>
          <w:sz w:val="21"/>
          <w:szCs w:val="21"/>
        </w:rPr>
        <w:t>support such a claim.</w:t>
      </w:r>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color w:val="333333"/>
          <w:sz w:val="21"/>
          <w:szCs w:val="21"/>
        </w:rPr>
        <w:t>In </w:t>
      </w:r>
      <w:hyperlink r:id="rId5" w:history="1">
        <w:r w:rsidRPr="00C341D9">
          <w:rPr>
            <w:rFonts w:ascii="Arial" w:eastAsia="Times New Roman" w:hAnsi="Arial" w:cs="Arial"/>
            <w:i/>
            <w:iCs/>
            <w:color w:val="005C95"/>
            <w:sz w:val="21"/>
            <w:szCs w:val="21"/>
          </w:rPr>
          <w:t>Terry v. United Parcel Services, Inc.</w:t>
        </w:r>
      </w:hyperlink>
      <w:r w:rsidRPr="00C341D9">
        <w:rPr>
          <w:rFonts w:ascii="Arial" w:eastAsia="Times New Roman" w:hAnsi="Arial" w:cs="Arial"/>
          <w:color w:val="333333"/>
          <w:sz w:val="21"/>
          <w:szCs w:val="21"/>
        </w:rPr>
        <w:t>, No. 2:17-cv-04972-PHX-DJB (D. Ariz., filed Dec. 29, 2017), a former UPS sales director alleges, among other things, that UPS terminated his employment in violation of the ADA and the Arizona Medical Marijuana Act (AMMA).</w:t>
      </w:r>
    </w:p>
    <w:p w:rsidR="00C341D9" w:rsidRPr="00C341D9" w:rsidRDefault="00C341D9" w:rsidP="00C341D9">
      <w:pPr>
        <w:spacing w:line="270" w:lineRule="atLeast"/>
        <w:rPr>
          <w:rFonts w:ascii="Arial" w:eastAsia="Times New Roman" w:hAnsi="Arial" w:cs="Arial"/>
          <w:color w:val="333333"/>
          <w:sz w:val="21"/>
          <w:szCs w:val="21"/>
        </w:rPr>
      </w:pPr>
    </w:p>
    <w:p w:rsidR="00C341D9" w:rsidRPr="00C341D9" w:rsidRDefault="00C36269" w:rsidP="00C341D9">
      <w:pPr>
        <w:spacing w:line="270" w:lineRule="atLeast"/>
        <w:rPr>
          <w:rFonts w:ascii="Arial" w:eastAsia="Times New Roman" w:hAnsi="Arial" w:cs="Arial"/>
          <w:color w:val="333333"/>
          <w:sz w:val="21"/>
          <w:szCs w:val="21"/>
        </w:rPr>
      </w:pPr>
      <w:hyperlink r:id="rId6" w:history="1">
        <w:r w:rsidR="00C341D9" w:rsidRPr="00C341D9">
          <w:rPr>
            <w:rFonts w:ascii="Arial" w:eastAsia="Times New Roman" w:hAnsi="Arial" w:cs="Arial"/>
            <w:color w:val="005C95"/>
            <w:sz w:val="21"/>
            <w:szCs w:val="21"/>
            <w:u w:val="single"/>
          </w:rPr>
          <w:t>http://www.arizonaorganix.org/blog/2018/03/20/are-employers-required-to-accommodate-an-employees-use-of-medical-marijuana/</w:t>
        </w:r>
      </w:hyperlink>
    </w:p>
    <w:p w:rsidR="00C341D9" w:rsidRPr="00C341D9" w:rsidRDefault="00C341D9" w:rsidP="00C341D9">
      <w:pPr>
        <w:spacing w:line="270" w:lineRule="atLeast"/>
        <w:rPr>
          <w:rFonts w:ascii="Arial" w:eastAsia="Times New Roman" w:hAnsi="Arial" w:cs="Arial"/>
          <w:color w:val="333333"/>
          <w:sz w:val="21"/>
          <w:szCs w:val="21"/>
        </w:rPr>
      </w:pPr>
      <w:r w:rsidRPr="00C341D9">
        <w:rPr>
          <w:rFonts w:ascii="Arial" w:eastAsia="Times New Roman" w:hAnsi="Arial" w:cs="Arial"/>
          <w:color w:val="333333"/>
          <w:sz w:val="21"/>
          <w:szCs w:val="21"/>
        </w:rPr>
        <w:t>https://www.laborandemploymentlawcounsel.com/2018/03/a-potential-plot-twist-for-medical-marijuana-and-the-ada/</w:t>
      </w:r>
    </w:p>
    <w:p w:rsidR="00C341D9" w:rsidRPr="00C341D9" w:rsidRDefault="00C341D9" w:rsidP="00C341D9">
      <w:pPr>
        <w:rPr>
          <w:rFonts w:ascii="Times New Roman" w:eastAsia="Times New Roman" w:hAnsi="Times New Roman" w:cs="Times New Roman"/>
        </w:rPr>
      </w:pPr>
    </w:p>
    <w:p w:rsidR="00454669" w:rsidRDefault="00E1588B"/>
    <w:sectPr w:rsidR="00454669" w:rsidSect="00057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341D9"/>
    <w:rsid w:val="000574FF"/>
    <w:rsid w:val="00BD61F0"/>
    <w:rsid w:val="00C341D9"/>
    <w:rsid w:val="00C36269"/>
    <w:rsid w:val="00E15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1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41D9"/>
    <w:rPr>
      <w:b/>
      <w:bCs/>
    </w:rPr>
  </w:style>
  <w:style w:type="character" w:customStyle="1" w:styleId="apple-converted-space">
    <w:name w:val="apple-converted-space"/>
    <w:basedOn w:val="DefaultParagraphFont"/>
    <w:rsid w:val="00C341D9"/>
  </w:style>
  <w:style w:type="character" w:styleId="Hyperlink">
    <w:name w:val="Hyperlink"/>
    <w:basedOn w:val="DefaultParagraphFont"/>
    <w:uiPriority w:val="99"/>
    <w:semiHidden/>
    <w:unhideWhenUsed/>
    <w:rsid w:val="00C341D9"/>
    <w:rPr>
      <w:color w:val="0000FF"/>
      <w:u w:val="single"/>
    </w:rPr>
  </w:style>
  <w:style w:type="character" w:styleId="Emphasis">
    <w:name w:val="Emphasis"/>
    <w:basedOn w:val="DefaultParagraphFont"/>
    <w:uiPriority w:val="20"/>
    <w:qFormat/>
    <w:rsid w:val="00C341D9"/>
    <w:rPr>
      <w:i/>
      <w:iCs/>
    </w:rPr>
  </w:style>
</w:styles>
</file>

<file path=word/webSettings.xml><?xml version="1.0" encoding="utf-8"?>
<w:webSettings xmlns:r="http://schemas.openxmlformats.org/officeDocument/2006/relationships" xmlns:w="http://schemas.openxmlformats.org/wordprocessingml/2006/main">
  <w:divs>
    <w:div w:id="2809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zonaorganix.org/blog/2018/03/20/are-employers-required-to-accommodate-an-employees-use-of-medical-marijuana/" TargetMode="External"/><Relationship Id="rId5" Type="http://schemas.openxmlformats.org/officeDocument/2006/relationships/hyperlink" Target="https://www.laborandemploymentlawcounsel.com/wp-content/uploads/sites/224/2018/03/Complaint-Terry-v-UPS-No-17-4792-D-AZ-12-28-17.pdf" TargetMode="External"/><Relationship Id="rId4" Type="http://schemas.openxmlformats.org/officeDocument/2006/relationships/hyperlink" Target="https://azmarijuana.com/link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Anteisha Campbell</dc:creator>
  <cp:lastModifiedBy>Expertsmind</cp:lastModifiedBy>
  <cp:revision>2</cp:revision>
  <dcterms:created xsi:type="dcterms:W3CDTF">2018-06-18T05:52:00Z</dcterms:created>
  <dcterms:modified xsi:type="dcterms:W3CDTF">2018-06-18T05:52:00Z</dcterms:modified>
</cp:coreProperties>
</file>